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3A9" w:rsidRPr="00516537" w:rsidRDefault="00D213A9" w:rsidP="00D213A9">
      <w:pPr>
        <w:pStyle w:val="1"/>
        <w:keepNext w:val="0"/>
        <w:kinsoku w:val="0"/>
        <w:overflowPunct w:val="0"/>
        <w:adjustRightInd w:val="0"/>
        <w:snapToGrid w:val="0"/>
        <w:spacing w:before="0" w:afterLines="5" w:after="18" w:line="240" w:lineRule="auto"/>
        <w:rPr>
          <w:rFonts w:ascii="標楷體" w:eastAsia="標楷體" w:hAnsi="標楷體"/>
          <w:b w:val="0"/>
          <w:sz w:val="28"/>
          <w:szCs w:val="28"/>
        </w:rPr>
      </w:pPr>
      <w:bookmarkStart w:id="0" w:name="_Toc61939454"/>
      <w:r w:rsidRPr="00516537">
        <w:rPr>
          <w:rFonts w:ascii="標楷體" w:eastAsia="標楷體" w:hAnsi="標楷體"/>
          <w:b w:val="0"/>
          <w:sz w:val="28"/>
          <w:szCs w:val="28"/>
        </w:rPr>
        <w:t>附件十</w:t>
      </w:r>
      <w:r w:rsidRPr="00516537">
        <w:rPr>
          <w:rFonts w:ascii="標楷體" w:eastAsia="標楷體" w:hAnsi="標楷體" w:hint="eastAsia"/>
          <w:b w:val="0"/>
          <w:sz w:val="28"/>
          <w:szCs w:val="28"/>
        </w:rPr>
        <w:t>五</w:t>
      </w:r>
      <w:r w:rsidRPr="00516537">
        <w:rPr>
          <w:rFonts w:ascii="標楷體" w:eastAsia="標楷體" w:hAnsi="標楷體"/>
          <w:b w:val="0"/>
          <w:sz w:val="28"/>
          <w:szCs w:val="28"/>
        </w:rPr>
        <w:t>、</w:t>
      </w:r>
      <w:r w:rsidRPr="00516537">
        <w:rPr>
          <w:rFonts w:ascii="標楷體" w:eastAsia="標楷體" w:hAnsi="標楷體" w:hint="eastAsia"/>
          <w:b w:val="0"/>
          <w:sz w:val="28"/>
          <w:szCs w:val="28"/>
        </w:rPr>
        <w:t>評選委員</w:t>
      </w:r>
      <w:r w:rsidRPr="00516537">
        <w:rPr>
          <w:rFonts w:ascii="標楷體" w:eastAsia="標楷體" w:hAnsi="標楷體"/>
          <w:b w:val="0"/>
          <w:sz w:val="28"/>
          <w:szCs w:val="28"/>
        </w:rPr>
        <w:t>評分表</w:t>
      </w:r>
      <w:bookmarkEnd w:id="0"/>
    </w:p>
    <w:p w:rsidR="00D213A9" w:rsidRPr="00516537" w:rsidRDefault="00D213A9" w:rsidP="00D213A9">
      <w:pPr>
        <w:kinsoku w:val="0"/>
        <w:overflowPunct w:val="0"/>
        <w:adjustRightInd w:val="0"/>
        <w:snapToGrid w:val="0"/>
        <w:rPr>
          <w:rFonts w:ascii="標楷體" w:eastAsia="標楷體" w:hAnsi="標楷體"/>
        </w:rPr>
      </w:pPr>
    </w:p>
    <w:p w:rsidR="00D213A9" w:rsidRDefault="00D213A9" w:rsidP="00D213A9">
      <w:pPr>
        <w:kinsoku w:val="0"/>
        <w:overflowPunct w:val="0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516537">
        <w:rPr>
          <w:rFonts w:ascii="標楷體" w:eastAsia="標楷體" w:hAnsi="標楷體" w:hint="eastAsia"/>
          <w:b/>
          <w:sz w:val="36"/>
        </w:rPr>
        <w:t>「</w:t>
      </w:r>
      <w:r w:rsidRPr="00DB7DB8">
        <w:rPr>
          <w:rFonts w:ascii="標楷體" w:eastAsia="標楷體" w:hAnsi="標楷體" w:hint="eastAsia"/>
          <w:b/>
          <w:sz w:val="36"/>
          <w:szCs w:val="36"/>
        </w:rPr>
        <w:t>花蓮縣政府暨所屬一二級機關</w:t>
      </w:r>
      <w:r w:rsidRPr="00DB7DB8">
        <w:rPr>
          <w:rFonts w:ascii="標楷體" w:eastAsia="標楷體" w:hAnsi="標楷體"/>
          <w:b/>
          <w:sz w:val="36"/>
          <w:szCs w:val="36"/>
        </w:rPr>
        <w:t>公有</w:t>
      </w:r>
      <w:r w:rsidRPr="00DB7DB8">
        <w:rPr>
          <w:rFonts w:ascii="標楷體" w:eastAsia="標楷體" w:hAnsi="標楷體" w:hint="eastAsia"/>
          <w:b/>
          <w:sz w:val="36"/>
          <w:szCs w:val="36"/>
        </w:rPr>
        <w:t>屋頂</w:t>
      </w:r>
      <w:r w:rsidRPr="00DB7DB8">
        <w:rPr>
          <w:rFonts w:ascii="標楷體" w:eastAsia="標楷體" w:hAnsi="標楷體" w:cs="Noto Serif"/>
          <w:b/>
          <w:color w:val="333333"/>
          <w:sz w:val="36"/>
          <w:szCs w:val="36"/>
          <w:shd w:val="clear" w:color="auto" w:fill="FFFFFF"/>
        </w:rPr>
        <w:t>設置太陽光電設備</w:t>
      </w:r>
      <w:r w:rsidRPr="00DB7DB8">
        <w:rPr>
          <w:rFonts w:ascii="標楷體" w:eastAsia="標楷體" w:hAnsi="標楷體" w:hint="eastAsia"/>
          <w:b/>
          <w:sz w:val="36"/>
          <w:szCs w:val="36"/>
        </w:rPr>
        <w:t>聯合</w:t>
      </w:r>
      <w:r w:rsidRPr="00DB7DB8">
        <w:rPr>
          <w:rFonts w:ascii="標楷體" w:eastAsia="標楷體" w:hAnsi="標楷體"/>
          <w:b/>
          <w:sz w:val="36"/>
          <w:szCs w:val="36"/>
        </w:rPr>
        <w:t>標租</w:t>
      </w:r>
      <w:r w:rsidRPr="00516537">
        <w:rPr>
          <w:rFonts w:ascii="標楷體" w:eastAsia="標楷體" w:hAnsi="標楷體" w:hint="eastAsia"/>
          <w:b/>
          <w:sz w:val="36"/>
        </w:rPr>
        <w:t>」營運商遴選案</w:t>
      </w:r>
    </w:p>
    <w:p w:rsidR="00D213A9" w:rsidRPr="00516537" w:rsidRDefault="00D213A9" w:rsidP="00D213A9">
      <w:pPr>
        <w:kinsoku w:val="0"/>
        <w:overflowPunct w:val="0"/>
        <w:adjustRightInd w:val="0"/>
        <w:snapToGrid w:val="0"/>
        <w:jc w:val="center"/>
        <w:rPr>
          <w:rFonts w:ascii="標楷體" w:eastAsia="標楷體" w:hAnsi="標楷體"/>
          <w:b/>
          <w:sz w:val="36"/>
        </w:rPr>
      </w:pPr>
      <w:r w:rsidRPr="00516537">
        <w:rPr>
          <w:rFonts w:ascii="標楷體" w:eastAsia="標楷體" w:hAnsi="標楷體" w:hint="eastAsia"/>
          <w:b/>
          <w:sz w:val="36"/>
        </w:rPr>
        <w:t>評選委員評分表</w:t>
      </w:r>
    </w:p>
    <w:p w:rsidR="00D213A9" w:rsidRPr="00516537" w:rsidRDefault="00D213A9" w:rsidP="002D414E">
      <w:pPr>
        <w:kinsoku w:val="0"/>
        <w:overflowPunct w:val="0"/>
        <w:adjustRightInd w:val="0"/>
        <w:snapToGrid w:val="0"/>
        <w:ind w:right="1120"/>
        <w:jc w:val="right"/>
        <w:rPr>
          <w:rFonts w:ascii="標楷體" w:eastAsia="標楷體" w:hAnsi="標楷體"/>
          <w:b/>
          <w:sz w:val="28"/>
        </w:rPr>
      </w:pPr>
      <w:r w:rsidRPr="00516537">
        <w:rPr>
          <w:rFonts w:ascii="標楷體" w:eastAsia="標楷體" w:hAnsi="標楷體" w:hint="eastAsia"/>
          <w:b/>
          <w:sz w:val="28"/>
        </w:rPr>
        <w:t>委員編號：</w:t>
      </w:r>
    </w:p>
    <w:tbl>
      <w:tblPr>
        <w:tblpPr w:leftFromText="180" w:rightFromText="180" w:vertAnchor="text" w:horzAnchor="margin" w:tblpY="374"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4737"/>
        <w:gridCol w:w="718"/>
        <w:gridCol w:w="574"/>
        <w:gridCol w:w="574"/>
        <w:gridCol w:w="574"/>
        <w:gridCol w:w="574"/>
        <w:gridCol w:w="574"/>
      </w:tblGrid>
      <w:tr w:rsidR="00D213A9" w:rsidRPr="00060225" w:rsidTr="00D213A9">
        <w:trPr>
          <w:cantSplit/>
          <w:trHeight w:val="321"/>
        </w:trPr>
        <w:tc>
          <w:tcPr>
            <w:tcW w:w="1723" w:type="dxa"/>
            <w:vMerge w:val="restart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</w:rPr>
              <w:t>評選項目</w:t>
            </w:r>
          </w:p>
        </w:tc>
        <w:tc>
          <w:tcPr>
            <w:tcW w:w="4737" w:type="dxa"/>
            <w:vMerge w:val="restart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proofErr w:type="gramStart"/>
            <w:r w:rsidRPr="00060225">
              <w:rPr>
                <w:rFonts w:ascii="標楷體" w:eastAsia="標楷體" w:hAnsi="標楷體" w:hint="eastAsia"/>
                <w:bCs/>
                <w:sz w:val="22"/>
              </w:rPr>
              <w:t>評選子項</w:t>
            </w:r>
            <w:proofErr w:type="gramEnd"/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</w:rPr>
              <w:t>配分</w:t>
            </w:r>
          </w:p>
        </w:tc>
        <w:tc>
          <w:tcPr>
            <w:tcW w:w="2870" w:type="dxa"/>
            <w:gridSpan w:val="5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</w:rPr>
              <w:t>廠商編號及得分</w:t>
            </w:r>
          </w:p>
        </w:tc>
      </w:tr>
      <w:tr w:rsidR="00D213A9" w:rsidRPr="00060225" w:rsidTr="00D213A9">
        <w:trPr>
          <w:cantSplit/>
          <w:trHeight w:val="321"/>
        </w:trPr>
        <w:tc>
          <w:tcPr>
            <w:tcW w:w="1723" w:type="dxa"/>
            <w:vMerge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4737" w:type="dxa"/>
            <w:vMerge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  <w:bdr w:val="single" w:sz="4" w:space="0" w:color="auto"/>
              </w:rPr>
              <w:t>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  <w:bdr w:val="single" w:sz="4" w:space="0" w:color="auto"/>
              </w:rPr>
              <w:t>2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  <w:bdr w:val="single" w:sz="4" w:space="0" w:color="auto"/>
              </w:rPr>
              <w:t>3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  <w:bdr w:val="single" w:sz="4" w:space="0" w:color="auto"/>
              </w:rPr>
              <w:t>4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  <w:bdr w:val="single" w:sz="4" w:space="0" w:color="auto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  <w:bdr w:val="single" w:sz="4" w:space="0" w:color="auto"/>
              </w:rPr>
              <w:t>5</w:t>
            </w:r>
          </w:p>
        </w:tc>
      </w:tr>
      <w:tr w:rsidR="00D213A9" w:rsidRPr="00060225" w:rsidTr="00D213A9">
        <w:trPr>
          <w:cantSplit/>
          <w:trHeight w:val="1744"/>
        </w:trPr>
        <w:tc>
          <w:tcPr>
            <w:tcW w:w="1723" w:type="dxa"/>
            <w:shd w:val="clear" w:color="auto" w:fill="FFFFFF"/>
            <w:vAlign w:val="center"/>
          </w:tcPr>
          <w:p w:rsidR="00D213A9" w:rsidRPr="00D213A9" w:rsidRDefault="00D213A9" w:rsidP="00D213A9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D213A9">
              <w:rPr>
                <w:rFonts w:ascii="標楷體" w:eastAsia="標楷體" w:hAnsi="標楷體" w:hint="eastAsia"/>
                <w:sz w:val="22"/>
              </w:rPr>
              <w:t xml:space="preserve">公司能力與    </w:t>
            </w:r>
          </w:p>
          <w:p w:rsidR="00D213A9" w:rsidRPr="00D213A9" w:rsidRDefault="00D213A9" w:rsidP="00D213A9">
            <w:pPr>
              <w:pStyle w:val="a3"/>
              <w:kinsoku w:val="0"/>
              <w:overflowPunct w:val="0"/>
              <w:adjustRightInd w:val="0"/>
              <w:snapToGrid w:val="0"/>
              <w:ind w:leftChars="0" w:left="460"/>
              <w:rPr>
                <w:rFonts w:ascii="標楷體" w:eastAsia="標楷體" w:hAnsi="標楷體"/>
                <w:b/>
                <w:sz w:val="22"/>
              </w:rPr>
            </w:pPr>
            <w:r w:rsidRPr="00D213A9">
              <w:rPr>
                <w:rFonts w:ascii="標楷體" w:eastAsia="標楷體" w:hAnsi="標楷體" w:hint="eastAsia"/>
                <w:sz w:val="22"/>
              </w:rPr>
              <w:t>健全性</w:t>
            </w:r>
          </w:p>
        </w:tc>
        <w:tc>
          <w:tcPr>
            <w:tcW w:w="473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1.公司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團隊</w:t>
            </w:r>
            <w:r w:rsidRPr="00060225">
              <w:rPr>
                <w:rFonts w:ascii="標楷體" w:eastAsia="標楷體" w:hAnsi="標楷體" w:hint="eastAsia"/>
                <w:sz w:val="22"/>
              </w:rPr>
              <w:t>組成。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2.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財務健全性</w:t>
            </w:r>
            <w:r w:rsidRPr="0006022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213A9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3.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工程設計</w:t>
            </w:r>
            <w:r w:rsidRPr="00060225">
              <w:rPr>
                <w:rFonts w:ascii="標楷體" w:eastAsia="標楷體" w:hAnsi="標楷體" w:hint="eastAsia"/>
                <w:sz w:val="22"/>
              </w:rPr>
              <w:t>、營運能力、採購能力及建造能力說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060225">
              <w:rPr>
                <w:rFonts w:ascii="標楷體" w:eastAsia="標楷體" w:hAnsi="標楷體" w:hint="eastAsia"/>
                <w:sz w:val="22"/>
              </w:rPr>
              <w:t>明。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4.太陽光電工程實績。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5.優良事蹟與獎項。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bCs/>
                <w:sz w:val="22"/>
              </w:rPr>
              <w:t>30分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dstrike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dstrike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dstrike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621"/>
        </w:trPr>
        <w:tc>
          <w:tcPr>
            <w:tcW w:w="1723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sz w:val="22"/>
              </w:rPr>
              <w:t>二、</w:t>
            </w:r>
            <w:r w:rsidRPr="00060225">
              <w:rPr>
                <w:rFonts w:ascii="標楷體" w:eastAsia="標楷體" w:hAnsi="標楷體" w:hint="eastAsia"/>
                <w:sz w:val="22"/>
              </w:rPr>
              <w:t>技術規格</w:t>
            </w:r>
          </w:p>
        </w:tc>
        <w:tc>
          <w:tcPr>
            <w:tcW w:w="473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1.光電與機電設備規格。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2.結構設計規劃。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3.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規劃設置容量</w:t>
            </w:r>
            <w:r w:rsidRPr="00060225">
              <w:rPr>
                <w:rFonts w:ascii="標楷體" w:eastAsia="標楷體" w:hAnsi="標楷體" w:hint="eastAsia"/>
                <w:sz w:val="22"/>
              </w:rPr>
              <w:t>。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bCs/>
                <w:sz w:val="22"/>
              </w:rPr>
              <w:t>25分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1899"/>
        </w:trPr>
        <w:tc>
          <w:tcPr>
            <w:tcW w:w="1723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sz w:val="22"/>
              </w:rPr>
              <w:t>三、</w:t>
            </w:r>
            <w:r w:rsidRPr="00060225">
              <w:rPr>
                <w:rFonts w:ascii="標楷體" w:eastAsia="標楷體" w:hAnsi="標楷體" w:hint="eastAsia"/>
                <w:sz w:val="22"/>
              </w:rPr>
              <w:t>營運管理</w:t>
            </w:r>
          </w:p>
        </w:tc>
        <w:tc>
          <w:tcPr>
            <w:tcW w:w="473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1.營運組織與管理計畫。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2.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設備維運與維修計畫</w:t>
            </w:r>
            <w:r w:rsidRPr="00060225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3.安全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維護</w:t>
            </w:r>
            <w:r w:rsidRPr="00060225">
              <w:rPr>
                <w:rFonts w:ascii="標楷體" w:eastAsia="標楷體" w:hAnsi="標楷體" w:hint="eastAsia"/>
                <w:sz w:val="22"/>
              </w:rPr>
              <w:t>措施。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4.</w:t>
            </w:r>
            <w:r w:rsidRPr="00060225">
              <w:rPr>
                <w:rFonts w:ascii="標楷體" w:eastAsia="標楷體" w:hAnsi="標楷體" w:hint="eastAsia"/>
                <w:bCs/>
                <w:kern w:val="16"/>
                <w:sz w:val="22"/>
                <w:szCs w:val="20"/>
              </w:rPr>
              <w:t>緊急應變</w:t>
            </w:r>
            <w:r w:rsidRPr="00060225">
              <w:rPr>
                <w:rFonts w:ascii="標楷體" w:eastAsia="標楷體" w:hAnsi="標楷體" w:hint="eastAsia"/>
                <w:sz w:val="22"/>
              </w:rPr>
              <w:t>計畫。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5.品質保證計畫。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bCs/>
                <w:sz w:val="22"/>
              </w:rPr>
              <w:t>15分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1228"/>
        </w:trPr>
        <w:tc>
          <w:tcPr>
            <w:tcW w:w="1723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四、屋頂改造</w:t>
            </w:r>
          </w:p>
        </w:tc>
        <w:tc>
          <w:tcPr>
            <w:tcW w:w="473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1.屋頂改造規劃。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2.屋頂整體景觀設計。</w:t>
            </w:r>
          </w:p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3.屋頂結構補強方案。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bCs/>
                <w:sz w:val="22"/>
              </w:rPr>
              <w:t>15分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744"/>
        </w:trPr>
        <w:tc>
          <w:tcPr>
            <w:tcW w:w="1723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五、回饋金比例</w:t>
            </w:r>
          </w:p>
        </w:tc>
        <w:tc>
          <w:tcPr>
            <w:tcW w:w="473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060225">
              <w:rPr>
                <w:rFonts w:ascii="標楷體" w:eastAsia="標楷體" w:hAnsi="標楷體" w:hint="eastAsia"/>
                <w:sz w:val="22"/>
              </w:rPr>
              <w:t>提撥予</w:t>
            </w:r>
            <w:r w:rsidR="00A22E01">
              <w:rPr>
                <w:rFonts w:ascii="標楷體" w:eastAsia="標楷體" w:hAnsi="標楷體" w:hint="eastAsia"/>
                <w:sz w:val="22"/>
              </w:rPr>
              <w:t>建物管理權人</w:t>
            </w:r>
            <w:bookmarkStart w:id="1" w:name="_GoBack"/>
            <w:bookmarkEnd w:id="1"/>
            <w:r w:rsidRPr="00060225">
              <w:rPr>
                <w:rFonts w:ascii="標楷體" w:eastAsia="標楷體" w:hAnsi="標楷體" w:hint="eastAsia"/>
                <w:sz w:val="22"/>
              </w:rPr>
              <w:t>比例（不得低於10%）。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/>
                <w:bCs/>
                <w:sz w:val="22"/>
              </w:rPr>
              <w:t>15分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368"/>
        </w:trPr>
        <w:tc>
          <w:tcPr>
            <w:tcW w:w="7178" w:type="dxa"/>
            <w:gridSpan w:val="3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</w:rPr>
              <w:t>總評分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  <w:tr w:rsidR="00D213A9" w:rsidRPr="00060225" w:rsidTr="00D213A9">
        <w:trPr>
          <w:cantSplit/>
          <w:trHeight w:val="368"/>
        </w:trPr>
        <w:tc>
          <w:tcPr>
            <w:tcW w:w="7178" w:type="dxa"/>
            <w:gridSpan w:val="3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060225">
              <w:rPr>
                <w:rFonts w:ascii="標楷體" w:eastAsia="標楷體" w:hAnsi="標楷體" w:hint="eastAsia"/>
                <w:bCs/>
                <w:sz w:val="22"/>
              </w:rPr>
              <w:t>序位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  <w:tc>
          <w:tcPr>
            <w:tcW w:w="574" w:type="dxa"/>
            <w:shd w:val="clear" w:color="auto" w:fill="FFFFFF"/>
            <w:vAlign w:val="center"/>
          </w:tcPr>
          <w:p w:rsidR="00D213A9" w:rsidRPr="00060225" w:rsidRDefault="00D213A9" w:rsidP="00D213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kinsoku w:val="0"/>
              <w:overflowPunct w:val="0"/>
              <w:adjustRightInd w:val="0"/>
              <w:snapToGrid w:val="0"/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sz w:val="22"/>
              </w:rPr>
            </w:pPr>
          </w:p>
        </w:tc>
      </w:tr>
    </w:tbl>
    <w:p w:rsidR="00D213A9" w:rsidRPr="00060225" w:rsidRDefault="00D213A9" w:rsidP="00D213A9">
      <w:pPr>
        <w:pStyle w:val="a4"/>
        <w:kinsoku w:val="0"/>
        <w:overflowPunct w:val="0"/>
        <w:adjustRightInd w:val="0"/>
        <w:snapToGrid w:val="0"/>
        <w:spacing w:line="0" w:lineRule="atLeast"/>
        <w:jc w:val="center"/>
        <w:rPr>
          <w:rFonts w:ascii="標楷體" w:eastAsia="標楷體" w:hAnsi="標楷體"/>
          <w:bCs/>
          <w:sz w:val="28"/>
        </w:rPr>
      </w:pP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="691" w:hangingChars="314" w:hanging="691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備註：請委員惠予參考該評分級距評定分數。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232" w:left="557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各評選項目得分在90分以上者：優良；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472" w:left="1133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得分在80分以上未達90分者：佳；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472" w:left="1133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得分在70分以上未達80分者：尚可；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472" w:left="1133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得分在60分以上未達70分者：差；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472" w:left="1133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得分未達60分者：極差。</w:t>
      </w:r>
    </w:p>
    <w:p w:rsidR="00D213A9" w:rsidRPr="00060225" w:rsidRDefault="00D213A9" w:rsidP="00D213A9">
      <w:pPr>
        <w:kinsoku w:val="0"/>
        <w:overflowPunct w:val="0"/>
        <w:adjustRightInd w:val="0"/>
        <w:snapToGrid w:val="0"/>
        <w:spacing w:line="240" w:lineRule="atLeast"/>
        <w:ind w:leftChars="232" w:left="557"/>
        <w:rPr>
          <w:rFonts w:ascii="標楷體" w:eastAsia="標楷體" w:hAnsi="標楷體"/>
          <w:sz w:val="22"/>
        </w:rPr>
      </w:pPr>
      <w:r w:rsidRPr="00060225">
        <w:rPr>
          <w:rFonts w:ascii="標楷體" w:eastAsia="標楷體" w:hAnsi="標楷體" w:hint="eastAsia"/>
          <w:sz w:val="22"/>
        </w:rPr>
        <w:t>本表分數填列於評選總表後</w:t>
      </w:r>
      <w:r w:rsidRPr="00060225">
        <w:rPr>
          <w:rFonts w:ascii="標楷體" w:eastAsia="標楷體" w:hAnsi="標楷體" w:hint="eastAsia"/>
          <w:b/>
          <w:sz w:val="22"/>
        </w:rPr>
        <w:t>，</w:t>
      </w:r>
      <w:proofErr w:type="gramStart"/>
      <w:r w:rsidRPr="00060225">
        <w:rPr>
          <w:rFonts w:ascii="標楷體" w:eastAsia="標楷體" w:hAnsi="標楷體" w:hint="eastAsia"/>
          <w:sz w:val="22"/>
        </w:rPr>
        <w:t>併</w:t>
      </w:r>
      <w:proofErr w:type="gramEnd"/>
      <w:r w:rsidRPr="00060225">
        <w:rPr>
          <w:rFonts w:ascii="標楷體" w:eastAsia="標楷體" w:hAnsi="標楷體" w:hint="eastAsia"/>
          <w:sz w:val="22"/>
        </w:rPr>
        <w:t>其他評選委員評分表封存，由主席代表全體委員</w:t>
      </w:r>
      <w:proofErr w:type="gramStart"/>
      <w:r w:rsidRPr="00060225">
        <w:rPr>
          <w:rFonts w:ascii="標楷體" w:eastAsia="標楷體" w:hAnsi="標楷體" w:hint="eastAsia"/>
          <w:sz w:val="22"/>
        </w:rPr>
        <w:t>於彌封處簽</w:t>
      </w:r>
      <w:proofErr w:type="gramEnd"/>
      <w:r w:rsidRPr="00060225">
        <w:rPr>
          <w:rFonts w:ascii="標楷體" w:eastAsia="標楷體" w:hAnsi="標楷體" w:hint="eastAsia"/>
          <w:sz w:val="22"/>
        </w:rPr>
        <w:t>名或蓋章。</w:t>
      </w:r>
    </w:p>
    <w:p w:rsidR="00D213A9" w:rsidRPr="00516537" w:rsidRDefault="00D213A9" w:rsidP="00D213A9">
      <w:pPr>
        <w:pStyle w:val="a3"/>
        <w:kinsoku w:val="0"/>
        <w:overflowPunct w:val="0"/>
        <w:adjustRightInd w:val="0"/>
        <w:snapToGrid w:val="0"/>
        <w:spacing w:beforeLines="50" w:before="180"/>
        <w:ind w:leftChars="0" w:left="0"/>
        <w:jc w:val="both"/>
        <w:rPr>
          <w:rFonts w:ascii="標楷體" w:hAnsi="標楷體"/>
        </w:rPr>
      </w:pPr>
      <w:r w:rsidRPr="00516537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7BB4B5E2" wp14:editId="5EB2A1DA">
                <wp:simplePos x="0" y="0"/>
                <wp:positionH relativeFrom="column">
                  <wp:posOffset>-393700</wp:posOffset>
                </wp:positionH>
                <wp:positionV relativeFrom="page">
                  <wp:posOffset>9000490</wp:posOffset>
                </wp:positionV>
                <wp:extent cx="1565910" cy="1537970"/>
                <wp:effectExtent l="0" t="0" r="15240" b="24130"/>
                <wp:wrapSquare wrapText="bothSides"/>
                <wp:docPr id="7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3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13A9" w:rsidRPr="00402C28" w:rsidRDefault="00D213A9" w:rsidP="00D213A9">
                            <w:pPr>
                              <w:ind w:firstLineChars="50" w:firstLine="140"/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9244CD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>評選</w:t>
                            </w:r>
                            <w:r w:rsidRPr="00402C28"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>委員簽名</w:t>
                            </w:r>
                            <w:r>
                              <w:rPr>
                                <w:rFonts w:ascii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</w:t>
                            </w:r>
                          </w:p>
                          <w:p w:rsidR="00D213A9" w:rsidRPr="00402C28" w:rsidRDefault="00D213A9" w:rsidP="00D213A9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</w:p>
                          <w:p w:rsidR="00D213A9" w:rsidRPr="00402C28" w:rsidRDefault="00D213A9" w:rsidP="00D213A9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</w:p>
                          <w:p w:rsidR="00D213A9" w:rsidRPr="00402C28" w:rsidRDefault="00D213A9" w:rsidP="00D213A9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</w:p>
                          <w:p w:rsidR="00D213A9" w:rsidRPr="00402C28" w:rsidRDefault="00D213A9" w:rsidP="00D213A9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</w:p>
                          <w:p w:rsidR="00D213A9" w:rsidRPr="00E45ED7" w:rsidRDefault="00D213A9" w:rsidP="00D213A9">
                            <w:pPr>
                              <w:rPr>
                                <w:rFonts w:ascii="新細明體" w:hAnsi="新細明體"/>
                                <w:sz w:val="28"/>
                                <w:szCs w:val="28"/>
                                <w:shd w:val="clear" w:color="auto" w:fil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4B5E2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31pt;margin-top:708.7pt;width:123.3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" o:allowoverlap="f">
                <v:textbox>
                  <w:txbxContent>
                    <w:p w:rsidR="00D213A9" w:rsidRPr="00402C28" w:rsidRDefault="00D213A9" w:rsidP="00D213A9">
                      <w:pPr>
                        <w:ind w:firstLineChars="50" w:firstLine="140"/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9244CD">
                        <w:rPr>
                          <w:rFonts w:ascii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>評選</w:t>
                      </w:r>
                      <w:r w:rsidRPr="00402C28">
                        <w:rPr>
                          <w:rFonts w:ascii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>委員簽名</w:t>
                      </w:r>
                      <w:r>
                        <w:rPr>
                          <w:rFonts w:ascii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</w:t>
                      </w:r>
                    </w:p>
                    <w:p w:rsidR="00D213A9" w:rsidRPr="00402C28" w:rsidRDefault="00D213A9" w:rsidP="00D213A9">
                      <w:pPr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</w:p>
                    <w:p w:rsidR="00D213A9" w:rsidRPr="00402C28" w:rsidRDefault="00D213A9" w:rsidP="00D213A9">
                      <w:pPr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</w:p>
                    <w:p w:rsidR="00D213A9" w:rsidRPr="00402C28" w:rsidRDefault="00D213A9" w:rsidP="00D213A9">
                      <w:pPr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</w:p>
                    <w:p w:rsidR="00D213A9" w:rsidRPr="00402C28" w:rsidRDefault="00D213A9" w:rsidP="00D213A9">
                      <w:pPr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</w:p>
                    <w:p w:rsidR="00D213A9" w:rsidRPr="00E45ED7" w:rsidRDefault="00D213A9" w:rsidP="00D213A9">
                      <w:pPr>
                        <w:rPr>
                          <w:rFonts w:ascii="新細明體" w:hAnsi="新細明體"/>
                          <w:sz w:val="28"/>
                          <w:szCs w:val="28"/>
                          <w:shd w:val="clear" w:color="auto" w:fill="808080"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516537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05F800B1" wp14:editId="163F2746">
                <wp:simplePos x="0" y="0"/>
                <wp:positionH relativeFrom="margin">
                  <wp:posOffset>-623570</wp:posOffset>
                </wp:positionH>
                <wp:positionV relativeFrom="margin">
                  <wp:posOffset>8129270</wp:posOffset>
                </wp:positionV>
                <wp:extent cx="2286000" cy="2286000"/>
                <wp:effectExtent l="0" t="0" r="0" b="0"/>
                <wp:wrapNone/>
                <wp:docPr id="8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0B4D3" id="Line 9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9.1pt,640.1pt" to="130.9pt,8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">
                <v:stroke dashstyle="dash"/>
                <w10:wrap anchorx="margin" anchory="margin"/>
                <w10:anchorlock/>
              </v:line>
            </w:pict>
          </mc:Fallback>
        </mc:AlternateContent>
      </w:r>
    </w:p>
    <w:p w:rsidR="00A349B2" w:rsidRPr="00D213A9" w:rsidRDefault="00A349B2" w:rsidP="00D213A9">
      <w:pPr>
        <w:kinsoku w:val="0"/>
        <w:overflowPunct w:val="0"/>
        <w:adjustRightInd w:val="0"/>
        <w:snapToGrid w:val="0"/>
        <w:spacing w:afterLines="25" w:after="90"/>
        <w:ind w:right="1843"/>
        <w:jc w:val="both"/>
        <w:outlineLvl w:val="0"/>
        <w:rPr>
          <w:rFonts w:ascii="標楷體" w:eastAsia="標楷體" w:hAnsi="標楷體"/>
          <w:sz w:val="28"/>
          <w:szCs w:val="28"/>
        </w:rPr>
      </w:pPr>
    </w:p>
    <w:sectPr w:rsidR="00A349B2" w:rsidRPr="00D213A9" w:rsidSect="00D213A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9121F"/>
    <w:multiLevelType w:val="hybridMultilevel"/>
    <w:tmpl w:val="05CEFAD6"/>
    <w:lvl w:ilvl="0" w:tplc="902EC870">
      <w:start w:val="1"/>
      <w:numFmt w:val="taiwaneseCountingThousand"/>
      <w:lvlText w:val="%1、"/>
      <w:lvlJc w:val="left"/>
      <w:pPr>
        <w:ind w:left="460" w:hanging="4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3A9"/>
    <w:rsid w:val="002D414E"/>
    <w:rsid w:val="00A22E01"/>
    <w:rsid w:val="00A349B2"/>
    <w:rsid w:val="00D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59E78"/>
  <w15:chartTrackingRefBased/>
  <w15:docId w15:val="{5C928FB8-462A-48A2-AD8F-2F9C3597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213A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213A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D213A9"/>
    <w:pPr>
      <w:ind w:leftChars="200" w:left="480"/>
    </w:pPr>
  </w:style>
  <w:style w:type="paragraph" w:styleId="a4">
    <w:name w:val="Body Text Indent"/>
    <w:basedOn w:val="a"/>
    <w:link w:val="a5"/>
    <w:unhideWhenUsed/>
    <w:rsid w:val="00D213A9"/>
    <w:pPr>
      <w:spacing w:after="120"/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本文縮排 字元"/>
    <w:basedOn w:val="a0"/>
    <w:link w:val="a4"/>
    <w:rsid w:val="00D213A9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3</cp:revision>
  <dcterms:created xsi:type="dcterms:W3CDTF">2022-03-23T01:54:00Z</dcterms:created>
  <dcterms:modified xsi:type="dcterms:W3CDTF">2022-04-29T08:16:00Z</dcterms:modified>
</cp:coreProperties>
</file>